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9"/>
        <w:gridCol w:w="4"/>
        <w:gridCol w:w="4"/>
        <w:gridCol w:w="5"/>
      </w:tblGrid>
      <w:tr w:rsidR="00FC156B" w:rsidRPr="00FC156B" w:rsidTr="00FC156B">
        <w:tc>
          <w:tcPr>
            <w:tcW w:w="14543" w:type="dxa"/>
            <w:noWrap/>
            <w:hideMark/>
          </w:tcPr>
          <w:tbl>
            <w:tblPr>
              <w:tblW w:w="145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32"/>
            </w:tblGrid>
            <w:tr w:rsidR="00FC156B" w:rsidRPr="00FC156B">
              <w:tc>
                <w:tcPr>
                  <w:tcW w:w="0" w:type="auto"/>
                  <w:vAlign w:val="center"/>
                  <w:hideMark/>
                </w:tcPr>
                <w:p w:rsidR="00FC156B" w:rsidRPr="00FC156B" w:rsidRDefault="00FC156B" w:rsidP="00FC156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hr-HR"/>
                    </w:rPr>
                  </w:pPr>
                  <w:r w:rsidRPr="00FC156B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hr-HR"/>
                    </w:rPr>
                    <w:t>CARNET Helpdesk</w:t>
                  </w:r>
                  <w:r w:rsidRPr="00FC156B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hr-HR"/>
                    </w:rPr>
                    <w:t> </w:t>
                  </w:r>
                  <w:r w:rsidRPr="00FC156B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hr-HR"/>
                    </w:rPr>
                    <w:t>helpdesk@carnet.hr</w:t>
                  </w:r>
                  <w:r w:rsidRPr="00FC156B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hr-HR"/>
                    </w:rPr>
                    <w:t> </w:t>
                  </w:r>
                  <w:bookmarkStart w:id="0" w:name="_GoBack"/>
                  <w:bookmarkEnd w:id="0"/>
                  <w:r w:rsidRPr="00FC156B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hr-HR"/>
                    </w:rPr>
                    <w:t> </w:t>
                  </w:r>
                </w:p>
              </w:tc>
            </w:tr>
          </w:tbl>
          <w:p w:rsidR="00FC156B" w:rsidRPr="00FC156B" w:rsidRDefault="00FC156B" w:rsidP="00FC156B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noWrap/>
            <w:hideMark/>
          </w:tcPr>
          <w:p w:rsidR="00FC156B" w:rsidRPr="00FC156B" w:rsidRDefault="00FC156B" w:rsidP="00FC156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hr-HR"/>
              </w:rPr>
            </w:pPr>
            <w:r w:rsidRPr="00FC156B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FC156B" w:rsidRPr="00FC156B" w:rsidRDefault="00FC156B" w:rsidP="00FC15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C156B" w:rsidRPr="00FC156B" w:rsidRDefault="00FC156B" w:rsidP="00FC156B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hr-HR"/>
              </w:rPr>
            </w:pPr>
            <w:r w:rsidRPr="00FC156B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hr-HR"/>
              </w:rPr>
              <w:drawing>
                <wp:inline distT="0" distB="0" distL="0" distR="0" wp14:anchorId="254E5683" wp14:editId="6D7DE942">
                  <wp:extent cx="5715" cy="571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56B" w:rsidRPr="00FC156B" w:rsidRDefault="00FC156B" w:rsidP="00FC156B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hr-HR"/>
              </w:rPr>
            </w:pPr>
            <w:r w:rsidRPr="00FC156B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hr-HR"/>
              </w:rPr>
              <w:drawing>
                <wp:inline distT="0" distB="0" distL="0" distR="0" wp14:anchorId="4959A3A0" wp14:editId="426E7C2A">
                  <wp:extent cx="5715" cy="571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56B" w:rsidRPr="00FC156B" w:rsidTr="00FC156B">
        <w:tc>
          <w:tcPr>
            <w:tcW w:w="0" w:type="auto"/>
            <w:gridSpan w:val="3"/>
            <w:vAlign w:val="center"/>
            <w:hideMark/>
          </w:tcPr>
          <w:tbl>
            <w:tblPr>
              <w:tblW w:w="176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40"/>
            </w:tblGrid>
            <w:tr w:rsidR="00FC156B" w:rsidRPr="00FC156B">
              <w:tc>
                <w:tcPr>
                  <w:tcW w:w="0" w:type="auto"/>
                  <w:noWrap/>
                  <w:vAlign w:val="center"/>
                  <w:hideMark/>
                </w:tcPr>
                <w:p w:rsidR="00FC156B" w:rsidRPr="00FC156B" w:rsidRDefault="00FC156B" w:rsidP="00FC156B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hr-HR"/>
                    </w:rPr>
                  </w:pPr>
                </w:p>
                <w:p w:rsidR="00FC156B" w:rsidRPr="00FC156B" w:rsidRDefault="00FC156B" w:rsidP="00FC156B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hr-HR"/>
                    </w:rPr>
                  </w:pPr>
                  <w:r w:rsidRPr="00FC156B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0EE70845" wp14:editId="0E176A27">
                        <wp:extent cx="5715" cy="5715"/>
                        <wp:effectExtent l="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C156B" w:rsidRPr="00FC156B" w:rsidRDefault="00FC156B" w:rsidP="00FC156B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156B" w:rsidRPr="00FC156B" w:rsidRDefault="00FC156B" w:rsidP="00FC156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hr-HR"/>
              </w:rPr>
            </w:pPr>
          </w:p>
        </w:tc>
      </w:tr>
    </w:tbl>
    <w:p w:rsidR="00FC156B" w:rsidRPr="00FC156B" w:rsidRDefault="00FC156B" w:rsidP="00FC1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C156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Poštovani,</w:t>
      </w:r>
    </w:p>
    <w:p w:rsidR="00FC156B" w:rsidRPr="00FC156B" w:rsidRDefault="00FC156B" w:rsidP="00FC1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C156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vezano uz jučerašnju uputu Ministarstva znanosti i obrazovanja za pripremu online nastave, javljamo bitnu informaciju o prijavi u Yammer.</w:t>
      </w:r>
    </w:p>
    <w:p w:rsidR="00FC156B" w:rsidRPr="00FC156B" w:rsidRDefault="00FC156B" w:rsidP="00FC1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C156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Ako se korisnici u Yammer prijavljuju bez da su aktivirali Office365, sustav će ih tražiti da unesu godine i ako imaju manje od 13 godina, neće dobiti pristup Yammeru zbog sigurnosne politike Microsofta.</w:t>
      </w:r>
    </w:p>
    <w:p w:rsidR="00FC156B" w:rsidRPr="00FC156B" w:rsidRDefault="00FC156B" w:rsidP="00FC1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C156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Ovome je moguće doskočiti tako da se prije prijave na Yammer učenici prijave u Office365 sustav. Ako se prijavljuju s aktivnim Office365 računom na Yammer, sustav ih automatski prihvaća i daje im pristup.</w:t>
      </w:r>
    </w:p>
    <w:p w:rsidR="00FC156B" w:rsidRPr="00FC156B" w:rsidRDefault="00FC156B" w:rsidP="00FC1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C156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Prijava na Office365 portal moguća je putem sljedeće poveznice:</w:t>
      </w:r>
    </w:p>
    <w:p w:rsidR="00FC156B" w:rsidRPr="00FC156B" w:rsidRDefault="00FC156B" w:rsidP="00FC1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5" w:tgtFrame="_blank" w:history="1">
        <w:r w:rsidRPr="00FC156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hr-HR"/>
          </w:rPr>
          <w:t>https://office365.skole.hr/</w:t>
        </w:r>
      </w:hyperlink>
    </w:p>
    <w:p w:rsidR="00FC156B" w:rsidRPr="00FC156B" w:rsidRDefault="00FC156B" w:rsidP="00FC1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C156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gornjem desnom kutu potrebno je odabrati "Prijava", potom "AAI@EduHr" prijava te upisati korisničko ime i lozinku. Nakon prijave na navedeni portal, potrebno je potvrditi uvjete korištenja te odabrati opciju "Odvedi me na Office365". Tada će u popisu aplikacija biti vidljiv i Yammer te će mu korisnici moći pristupiti.</w:t>
      </w:r>
    </w:p>
    <w:p w:rsidR="00FC156B" w:rsidRPr="00FC156B" w:rsidRDefault="00FC156B" w:rsidP="00FC1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C156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Srdačan pozdrav,</w:t>
      </w:r>
    </w:p>
    <w:p w:rsidR="00FC156B" w:rsidRPr="00FC156B" w:rsidRDefault="00FC156B" w:rsidP="00FC1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C156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--</w:t>
      </w:r>
    </w:p>
    <w:p w:rsidR="00FC156B" w:rsidRPr="00FC156B" w:rsidRDefault="00FC156B" w:rsidP="00FC1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C156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CARNET Helpdesk</w:t>
      </w:r>
    </w:p>
    <w:p w:rsidR="00FC156B" w:rsidRPr="00FC156B" w:rsidRDefault="00FC156B" w:rsidP="00FC1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C156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Odjel podrške korisnicima</w:t>
      </w:r>
    </w:p>
    <w:p w:rsidR="00FC156B" w:rsidRPr="00FC156B" w:rsidRDefault="00FC156B" w:rsidP="00FC1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C156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Hrvatska akademska i istraživačka mreža - CARNET</w:t>
      </w:r>
    </w:p>
    <w:p w:rsidR="003D4DEE" w:rsidRDefault="003D4DEE"/>
    <w:sectPr w:rsidR="003D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6B"/>
    <w:rsid w:val="003D4DEE"/>
    <w:rsid w:val="00F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6FF8"/>
  <w15:chartTrackingRefBased/>
  <w15:docId w15:val="{D771E5C8-CF93-4289-9C5C-5AFE8A8F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15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39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495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ffice365.skole.hr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Zarli</dc:creator>
  <cp:keywords/>
  <dc:description/>
  <cp:lastModifiedBy>Ester Zarli</cp:lastModifiedBy>
  <cp:revision>1</cp:revision>
  <dcterms:created xsi:type="dcterms:W3CDTF">2020-03-12T18:33:00Z</dcterms:created>
  <dcterms:modified xsi:type="dcterms:W3CDTF">2020-03-12T18:37:00Z</dcterms:modified>
</cp:coreProperties>
</file>